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EB23" w14:textId="77777777" w:rsidR="0076041A" w:rsidRPr="0076041A" w:rsidRDefault="0076041A" w:rsidP="0076041A">
      <w:pPr>
        <w:spacing w:line="240" w:lineRule="auto"/>
        <w:rPr>
          <w:rFonts w:ascii="Times New Roman" w:eastAsia="Calibri" w:hAnsi="Times New Roman" w:cs="Times New Roman"/>
          <w:b/>
          <w:sz w:val="24"/>
          <w:szCs w:val="24"/>
        </w:rPr>
      </w:pPr>
      <w:r w:rsidRPr="0076041A">
        <w:rPr>
          <w:rFonts w:ascii="Times New Roman" w:eastAsia="Calibri" w:hAnsi="Times New Roman" w:cs="Times New Roman"/>
          <w:b/>
          <w:sz w:val="24"/>
          <w:szCs w:val="24"/>
        </w:rPr>
        <w:t xml:space="preserve">Notes on Breakout room discussion: </w:t>
      </w:r>
    </w:p>
    <w:p w14:paraId="0D914D13"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1A467D97" w14:textId="3A1F34EA"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 xml:space="preserve">Q? </w:t>
      </w:r>
      <w:r w:rsidRPr="0076041A">
        <w:rPr>
          <w:rFonts w:ascii="Times New Roman" w:eastAsia="Calibri" w:hAnsi="Times New Roman" w:cs="Times New Roman"/>
          <w:sz w:val="24"/>
          <w:szCs w:val="24"/>
        </w:rPr>
        <w:tab/>
      </w:r>
      <w:r w:rsidRPr="0076041A">
        <w:rPr>
          <w:rFonts w:ascii="Times New Roman" w:eastAsia="Calibri" w:hAnsi="Times New Roman" w:cs="Times New Roman"/>
          <w:sz w:val="24"/>
          <w:szCs w:val="24"/>
        </w:rPr>
        <w:t>How to create a mentoring contract?</w:t>
      </w:r>
    </w:p>
    <w:p w14:paraId="1FAC900E" w14:textId="5A3DC7F4"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 xml:space="preserve">       </w:t>
      </w:r>
      <w:r w:rsidRPr="0076041A">
        <w:rPr>
          <w:rFonts w:ascii="Times New Roman" w:eastAsia="Calibri" w:hAnsi="Times New Roman" w:cs="Times New Roman"/>
          <w:sz w:val="24"/>
          <w:szCs w:val="24"/>
        </w:rPr>
        <w:tab/>
      </w:r>
      <w:r w:rsidRPr="0076041A">
        <w:rPr>
          <w:rFonts w:ascii="Times New Roman" w:eastAsia="Calibri" w:hAnsi="Times New Roman" w:cs="Times New Roman"/>
          <w:sz w:val="24"/>
          <w:szCs w:val="24"/>
        </w:rPr>
        <w:t>What are the challenges in creating a document for mentoring?</w:t>
      </w:r>
    </w:p>
    <w:p w14:paraId="236FDE68" w14:textId="11B674D3" w:rsidR="0076041A" w:rsidRPr="0076041A" w:rsidRDefault="0076041A" w:rsidP="0076041A">
      <w:pPr>
        <w:spacing w:line="240" w:lineRule="auto"/>
        <w:ind w:left="720"/>
        <w:rPr>
          <w:rFonts w:ascii="Times New Roman" w:eastAsia="Calibri" w:hAnsi="Times New Roman" w:cs="Times New Roman"/>
          <w:sz w:val="24"/>
          <w:szCs w:val="24"/>
        </w:rPr>
      </w:pPr>
      <w:r w:rsidRPr="0076041A">
        <w:rPr>
          <w:rFonts w:ascii="Times New Roman" w:eastAsia="Calibri" w:hAnsi="Times New Roman" w:cs="Times New Roman"/>
          <w:sz w:val="24"/>
          <w:szCs w:val="24"/>
        </w:rPr>
        <w:t>What are the challenges to creating a culture where people feel comfortable speaking up/being open about needs?</w:t>
      </w:r>
    </w:p>
    <w:p w14:paraId="15B40969"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36D9BB84" w14:textId="77777777"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Ken Kaplan shared a mentoring contract</w:t>
      </w:r>
    </w:p>
    <w:p w14:paraId="59FB7D89"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200BCEA8" w14:textId="77777777"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Story about a student who left a lab, had started during covid. Hard to establish expectations when so much is not in-person.</w:t>
      </w:r>
    </w:p>
    <w:p w14:paraId="0003CD5D" w14:textId="27A8D50D"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Response that it’s important to re-evaluate regularly, but these types of interactions come with the territory, it’s inevitable that some mentoring relationships will have mismatched expectations.</w:t>
      </w:r>
    </w:p>
    <w:p w14:paraId="2CEA2375"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2D5EFB99" w14:textId="0F2CB868"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 xml:space="preserve">Q? </w:t>
      </w:r>
      <w:r w:rsidRPr="0076041A">
        <w:rPr>
          <w:rFonts w:ascii="Times New Roman" w:eastAsia="Calibri" w:hAnsi="Times New Roman" w:cs="Times New Roman"/>
          <w:sz w:val="24"/>
          <w:szCs w:val="24"/>
        </w:rPr>
        <w:tab/>
      </w:r>
      <w:r w:rsidRPr="0076041A">
        <w:rPr>
          <w:rFonts w:ascii="Times New Roman" w:eastAsia="Calibri" w:hAnsi="Times New Roman" w:cs="Times New Roman"/>
          <w:sz w:val="24"/>
          <w:szCs w:val="24"/>
        </w:rPr>
        <w:t>Point that it can be hard to know what things are “rude to talk about”, particularly when your students have different backgrounds than you. Any suggestions for how to deal with that?</w:t>
      </w:r>
    </w:p>
    <w:p w14:paraId="2FE6F7CF" w14:textId="39F2836E"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w:t>
      </w:r>
      <w:r w:rsidRPr="0076041A">
        <w:rPr>
          <w:rFonts w:ascii="Times New Roman" w:eastAsia="Calibri" w:hAnsi="Times New Roman" w:cs="Times New Roman"/>
          <w:sz w:val="24"/>
          <w:szCs w:val="24"/>
        </w:rPr>
        <w:t>Need to establish the personal connection and kind of feel it out.</w:t>
      </w:r>
    </w:p>
    <w:p w14:paraId="4ABD8C83"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64C46AA5" w14:textId="77777777"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Suggestion for a fill-in-the-blank mentoring compact. Not one size fits all. Each student has different needs, so need to establish what each student’s background and goals are. Initially requested a weekly lab report, but some students were stressed by the fact that not every week of lab work produces much to speak of, so they adjusted the mentoring approach.</w:t>
      </w:r>
    </w:p>
    <w:p w14:paraId="5E3C376C" w14:textId="77777777" w:rsidR="0076041A" w:rsidRPr="0076041A" w:rsidRDefault="0076041A" w:rsidP="0076041A">
      <w:pPr>
        <w:spacing w:line="240" w:lineRule="auto"/>
        <w:ind w:left="720"/>
        <w:rPr>
          <w:rFonts w:ascii="Times New Roman" w:eastAsia="Calibri" w:hAnsi="Times New Roman" w:cs="Times New Roman"/>
          <w:sz w:val="24"/>
          <w:szCs w:val="24"/>
        </w:rPr>
      </w:pPr>
    </w:p>
    <w:p w14:paraId="47271143" w14:textId="6EE0EC4B"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Suggestion to make a specific argument for diversity to set the tone</w:t>
      </w:r>
    </w:p>
    <w:p w14:paraId="40CE07D0" w14:textId="77777777" w:rsidR="0076041A" w:rsidRPr="0076041A" w:rsidRDefault="0076041A" w:rsidP="0076041A">
      <w:pPr>
        <w:spacing w:line="240" w:lineRule="auto"/>
        <w:rPr>
          <w:rFonts w:ascii="Times New Roman" w:eastAsia="Calibri" w:hAnsi="Times New Roman" w:cs="Times New Roman"/>
          <w:sz w:val="24"/>
          <w:szCs w:val="24"/>
        </w:rPr>
      </w:pPr>
    </w:p>
    <w:p w14:paraId="5CE567DC" w14:textId="41AB1C50"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 xml:space="preserve">Q? </w:t>
      </w:r>
      <w:r w:rsidRPr="0076041A">
        <w:rPr>
          <w:rFonts w:ascii="Times New Roman" w:eastAsia="Calibri" w:hAnsi="Times New Roman" w:cs="Times New Roman"/>
          <w:sz w:val="24"/>
          <w:szCs w:val="24"/>
        </w:rPr>
        <w:tab/>
      </w:r>
      <w:r w:rsidRPr="0076041A">
        <w:rPr>
          <w:rFonts w:ascii="Times New Roman" w:eastAsia="Calibri" w:hAnsi="Times New Roman" w:cs="Times New Roman"/>
          <w:sz w:val="24"/>
          <w:szCs w:val="24"/>
        </w:rPr>
        <w:t xml:space="preserve">Participant wants to be kind of blunt in asking students about their direction, </w:t>
      </w:r>
      <w:proofErr w:type="gramStart"/>
      <w:r w:rsidRPr="0076041A">
        <w:rPr>
          <w:rFonts w:ascii="Times New Roman" w:eastAsia="Calibri" w:hAnsi="Times New Roman" w:cs="Times New Roman"/>
          <w:sz w:val="24"/>
          <w:szCs w:val="24"/>
        </w:rPr>
        <w:t>e.g.</w:t>
      </w:r>
      <w:proofErr w:type="gramEnd"/>
      <w:r w:rsidRPr="0076041A">
        <w:rPr>
          <w:rFonts w:ascii="Times New Roman" w:eastAsia="Calibri" w:hAnsi="Times New Roman" w:cs="Times New Roman"/>
          <w:sz w:val="24"/>
          <w:szCs w:val="24"/>
        </w:rPr>
        <w:t xml:space="preserve"> why are you not pursuing opportunity X? </w:t>
      </w:r>
    </w:p>
    <w:p w14:paraId="3B0E938D" w14:textId="67CE42AE"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w:t>
      </w:r>
      <w:r w:rsidRPr="0076041A">
        <w:rPr>
          <w:rFonts w:ascii="Times New Roman" w:eastAsia="Calibri" w:hAnsi="Times New Roman" w:cs="Times New Roman"/>
          <w:sz w:val="24"/>
          <w:szCs w:val="24"/>
        </w:rPr>
        <w:t>Sometimes worries they cross lines but try to set a tone that it’s OK not to answer, not trying to be rude just wants to make sure their needs are met.</w:t>
      </w:r>
    </w:p>
    <w:p w14:paraId="393F4BA9" w14:textId="2F7C44FB"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w:t>
      </w:r>
      <w:r w:rsidRPr="0076041A">
        <w:rPr>
          <w:rFonts w:ascii="Times New Roman" w:eastAsia="Calibri" w:hAnsi="Times New Roman" w:cs="Times New Roman"/>
          <w:sz w:val="24"/>
          <w:szCs w:val="24"/>
        </w:rPr>
        <w:t>Sometimes finds students don’t know what’s possible, like how if you go to grad school you can put loans on hold and get a stipend.</w:t>
      </w:r>
    </w:p>
    <w:p w14:paraId="4C465827" w14:textId="4D6F1F2F"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w:t>
      </w:r>
      <w:r w:rsidRPr="0076041A">
        <w:rPr>
          <w:rFonts w:ascii="Times New Roman" w:eastAsia="Calibri" w:hAnsi="Times New Roman" w:cs="Times New Roman"/>
          <w:sz w:val="24"/>
          <w:szCs w:val="24"/>
        </w:rPr>
        <w:t>Sometimes as a research advisor you’re the first person at an educational institution who has really listened to them, oftentimes interactions with teachers are so focused on content, grades, etc.</w:t>
      </w:r>
    </w:p>
    <w:p w14:paraId="41B0AE21" w14:textId="77777777"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ab/>
      </w:r>
    </w:p>
    <w:p w14:paraId="3214F949" w14:textId="27F89890"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Suggestion to use IDP</w:t>
      </w:r>
    </w:p>
    <w:p w14:paraId="69AC426E" w14:textId="77777777" w:rsidR="0076041A" w:rsidRPr="0076041A" w:rsidRDefault="0076041A" w:rsidP="0076041A">
      <w:pPr>
        <w:spacing w:line="240" w:lineRule="auto"/>
        <w:rPr>
          <w:rFonts w:ascii="Times New Roman" w:eastAsia="Calibri" w:hAnsi="Times New Roman" w:cs="Times New Roman"/>
          <w:sz w:val="24"/>
          <w:szCs w:val="24"/>
        </w:rPr>
      </w:pPr>
    </w:p>
    <w:p w14:paraId="107D58CB" w14:textId="64E7B431"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Brittany Miller shared a mentoring contract!</w:t>
      </w:r>
    </w:p>
    <w:p w14:paraId="33C42DA0" w14:textId="77777777" w:rsidR="0076041A" w:rsidRPr="0076041A" w:rsidRDefault="0076041A" w:rsidP="0076041A">
      <w:pPr>
        <w:spacing w:line="240" w:lineRule="auto"/>
        <w:rPr>
          <w:rFonts w:ascii="Times New Roman" w:eastAsia="Calibri" w:hAnsi="Times New Roman" w:cs="Times New Roman"/>
          <w:sz w:val="24"/>
          <w:szCs w:val="24"/>
        </w:rPr>
      </w:pPr>
    </w:p>
    <w:p w14:paraId="081730B7" w14:textId="084BF44C" w:rsidR="0076041A" w:rsidRPr="0076041A" w:rsidRDefault="0076041A" w:rsidP="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Make sure to have regular conversations about things like career goals to adjust experience based on what they need.</w:t>
      </w:r>
    </w:p>
    <w:p w14:paraId="07B4F75C" w14:textId="24A71117" w:rsidR="0076041A" w:rsidRDefault="0076041A">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Interest in the group sharing example diversity statements and mentoring contracts with the broader group.</w:t>
      </w:r>
    </w:p>
    <w:p w14:paraId="3847547B" w14:textId="2380C435" w:rsidR="003A3B71" w:rsidRDefault="003A3B71">
      <w:pPr>
        <w:spacing w:line="240" w:lineRule="auto"/>
        <w:rPr>
          <w:rFonts w:ascii="Times New Roman" w:eastAsia="Calibri" w:hAnsi="Times New Roman" w:cs="Times New Roman"/>
          <w:sz w:val="24"/>
          <w:szCs w:val="24"/>
        </w:rPr>
      </w:pPr>
    </w:p>
    <w:p w14:paraId="1DF3F0B6" w14:textId="77777777" w:rsidR="003A3B71" w:rsidRPr="0076041A" w:rsidRDefault="003A3B71">
      <w:pPr>
        <w:spacing w:line="240" w:lineRule="auto"/>
        <w:rPr>
          <w:rFonts w:ascii="Times New Roman" w:eastAsia="Calibri" w:hAnsi="Times New Roman" w:cs="Times New Roman"/>
          <w:sz w:val="24"/>
          <w:szCs w:val="24"/>
        </w:rPr>
      </w:pPr>
    </w:p>
    <w:p w14:paraId="00000014" w14:textId="5B347D3A" w:rsidR="0059315B" w:rsidRPr="0076041A" w:rsidRDefault="003A3B71">
      <w:pPr>
        <w:spacing w:line="240" w:lineRule="auto"/>
        <w:rPr>
          <w:rFonts w:ascii="Times New Roman" w:eastAsia="Calibri" w:hAnsi="Times New Roman" w:cs="Times New Roman"/>
          <w:sz w:val="24"/>
          <w:szCs w:val="24"/>
        </w:rPr>
      </w:pPr>
      <w:r w:rsidRPr="0076041A">
        <w:rPr>
          <w:rFonts w:ascii="Times New Roman" w:eastAsia="Calibri" w:hAnsi="Times New Roman" w:cs="Times New Roman"/>
          <w:b/>
          <w:sz w:val="24"/>
          <w:szCs w:val="24"/>
          <w:u w:val="single"/>
        </w:rPr>
        <w:lastRenderedPageBreak/>
        <w:t>Resources:</w:t>
      </w:r>
      <w:r w:rsidRPr="0076041A">
        <w:rPr>
          <w:rFonts w:ascii="Times New Roman" w:eastAsia="Calibri" w:hAnsi="Times New Roman" w:cs="Times New Roman"/>
          <w:sz w:val="24"/>
          <w:szCs w:val="24"/>
        </w:rPr>
        <w:t xml:space="preserve"> </w:t>
      </w:r>
    </w:p>
    <w:p w14:paraId="00000015" w14:textId="77777777" w:rsidR="0059315B" w:rsidRPr="0076041A" w:rsidRDefault="003A3B71">
      <w:pPr>
        <w:numPr>
          <w:ilvl w:val="0"/>
          <w:numId w:val="2"/>
        </w:numPr>
        <w:spacing w:line="240" w:lineRule="auto"/>
        <w:rPr>
          <w:rFonts w:ascii="Times New Roman" w:eastAsia="Calibri" w:hAnsi="Times New Roman" w:cs="Times New Roman"/>
          <w:sz w:val="24"/>
          <w:szCs w:val="24"/>
        </w:rPr>
      </w:pPr>
      <w:hyperlink r:id="rId5">
        <w:r w:rsidRPr="0076041A">
          <w:rPr>
            <w:rFonts w:ascii="Times New Roman" w:eastAsia="Calibri" w:hAnsi="Times New Roman" w:cs="Times New Roman"/>
            <w:color w:val="1155CC"/>
            <w:sz w:val="24"/>
            <w:szCs w:val="24"/>
            <w:u w:val="single"/>
          </w:rPr>
          <w:t>https://www.ascb.org/careers/improving-mentorship-fo</w:t>
        </w:r>
        <w:r w:rsidRPr="0076041A">
          <w:rPr>
            <w:rFonts w:ascii="Times New Roman" w:eastAsia="Calibri" w:hAnsi="Times New Roman" w:cs="Times New Roman"/>
            <w:color w:val="1155CC"/>
            <w:sz w:val="24"/>
            <w:szCs w:val="24"/>
            <w:u w:val="single"/>
          </w:rPr>
          <w:t>r-diverse-scientists/</w:t>
        </w:r>
      </w:hyperlink>
    </w:p>
    <w:p w14:paraId="00000016" w14:textId="77777777" w:rsidR="0059315B" w:rsidRPr="0076041A" w:rsidRDefault="003A3B71">
      <w:pPr>
        <w:numPr>
          <w:ilvl w:val="0"/>
          <w:numId w:val="2"/>
        </w:numPr>
        <w:spacing w:line="240" w:lineRule="auto"/>
        <w:rPr>
          <w:rFonts w:ascii="Times New Roman" w:eastAsia="Calibri" w:hAnsi="Times New Roman" w:cs="Times New Roman"/>
          <w:sz w:val="24"/>
          <w:szCs w:val="24"/>
        </w:rPr>
      </w:pPr>
      <w:r w:rsidRPr="0076041A">
        <w:rPr>
          <w:rFonts w:ascii="Times New Roman" w:eastAsia="Calibri" w:hAnsi="Times New Roman" w:cs="Times New Roman"/>
          <w:b/>
          <w:sz w:val="24"/>
          <w:szCs w:val="24"/>
        </w:rPr>
        <w:t>Ethnic Diversity and Creativity in Small Groups</w:t>
      </w:r>
      <w:r w:rsidRPr="0076041A">
        <w:rPr>
          <w:rFonts w:ascii="Times New Roman" w:eastAsia="Calibri" w:hAnsi="Times New Roman" w:cs="Times New Roman"/>
          <w:sz w:val="24"/>
          <w:szCs w:val="24"/>
        </w:rPr>
        <w:t xml:space="preserve"> </w:t>
      </w:r>
      <w:r w:rsidRPr="0076041A">
        <w:rPr>
          <w:rFonts w:ascii="Times New Roman" w:eastAsia="Calibri" w:hAnsi="Times New Roman" w:cs="Times New Roman"/>
          <w:i/>
          <w:sz w:val="24"/>
          <w:szCs w:val="24"/>
        </w:rPr>
        <w:t xml:space="preserve">Poppy Lauretta McLeod, Sharon Alisa </w:t>
      </w:r>
      <w:proofErr w:type="spellStart"/>
      <w:r w:rsidRPr="0076041A">
        <w:rPr>
          <w:rFonts w:ascii="Times New Roman" w:eastAsia="Calibri" w:hAnsi="Times New Roman" w:cs="Times New Roman"/>
          <w:i/>
          <w:sz w:val="24"/>
          <w:szCs w:val="24"/>
        </w:rPr>
        <w:t>Lobel</w:t>
      </w:r>
      <w:proofErr w:type="spellEnd"/>
      <w:r w:rsidRPr="0076041A">
        <w:rPr>
          <w:rFonts w:ascii="Times New Roman" w:eastAsia="Calibri" w:hAnsi="Times New Roman" w:cs="Times New Roman"/>
          <w:i/>
          <w:sz w:val="24"/>
          <w:szCs w:val="24"/>
        </w:rPr>
        <w:t>, Taylor H. Cox</w:t>
      </w:r>
      <w:r w:rsidRPr="0076041A">
        <w:rPr>
          <w:rFonts w:ascii="Times New Roman" w:eastAsia="Calibri" w:hAnsi="Times New Roman" w:cs="Times New Roman"/>
          <w:sz w:val="24"/>
          <w:szCs w:val="24"/>
        </w:rPr>
        <w:t xml:space="preserve"> There is a growing belief among managers that ethnic diversity, when </w:t>
      </w:r>
      <w:proofErr w:type="spellStart"/>
      <w:r w:rsidRPr="0076041A">
        <w:rPr>
          <w:rFonts w:ascii="Times New Roman" w:eastAsia="Calibri" w:hAnsi="Times New Roman" w:cs="Times New Roman"/>
          <w:sz w:val="24"/>
          <w:szCs w:val="24"/>
        </w:rPr>
        <w:t>well managed</w:t>
      </w:r>
      <w:proofErr w:type="spellEnd"/>
      <w:r w:rsidRPr="0076041A">
        <w:rPr>
          <w:rFonts w:ascii="Times New Roman" w:eastAsia="Calibri" w:hAnsi="Times New Roman" w:cs="Times New Roman"/>
          <w:sz w:val="24"/>
          <w:szCs w:val="24"/>
        </w:rPr>
        <w:t>, can provide organizations with certain competitive advantages. But the belief in this value-</w:t>
      </w:r>
      <w:proofErr w:type="spellStart"/>
      <w:r w:rsidRPr="0076041A">
        <w:rPr>
          <w:rFonts w:ascii="Times New Roman" w:eastAsia="Calibri" w:hAnsi="Times New Roman" w:cs="Times New Roman"/>
          <w:sz w:val="24"/>
          <w:szCs w:val="24"/>
        </w:rPr>
        <w:t>inl</w:t>
      </w:r>
      <w:proofErr w:type="spellEnd"/>
      <w:r w:rsidRPr="0076041A">
        <w:rPr>
          <w:rFonts w:ascii="Times New Roman" w:eastAsia="Calibri" w:hAnsi="Times New Roman" w:cs="Times New Roman"/>
          <w:sz w:val="24"/>
          <w:szCs w:val="24"/>
        </w:rPr>
        <w:t xml:space="preserve"> diversity hypothesis rests largely on anecdotal rather than empirical eviden</w:t>
      </w:r>
      <w:r w:rsidRPr="0076041A">
        <w:rPr>
          <w:rFonts w:ascii="Times New Roman" w:eastAsia="Calibri" w:hAnsi="Times New Roman" w:cs="Times New Roman"/>
          <w:sz w:val="24"/>
          <w:szCs w:val="24"/>
        </w:rPr>
        <w:t xml:space="preserve">ce. Results are reported of a controlled experimental study that compares the performance on a brainstorming task between groups composed of all Anglo-Americans with groups composed </w:t>
      </w:r>
      <w:proofErr w:type="spellStart"/>
      <w:r w:rsidRPr="0076041A">
        <w:rPr>
          <w:rFonts w:ascii="Times New Roman" w:eastAsia="Calibri" w:hAnsi="Times New Roman" w:cs="Times New Roman"/>
          <w:sz w:val="24"/>
          <w:szCs w:val="24"/>
        </w:rPr>
        <w:t>ofAnglo</w:t>
      </w:r>
      <w:proofErr w:type="spellEnd"/>
      <w:r w:rsidRPr="0076041A">
        <w:rPr>
          <w:rFonts w:ascii="Times New Roman" w:eastAsia="Calibri" w:hAnsi="Times New Roman" w:cs="Times New Roman"/>
          <w:sz w:val="24"/>
          <w:szCs w:val="24"/>
        </w:rPr>
        <w:t>-, Asian, African, and Hispanic Americans. The particular brainstor</w:t>
      </w:r>
      <w:r w:rsidRPr="0076041A">
        <w:rPr>
          <w:rFonts w:ascii="Times New Roman" w:eastAsia="Calibri" w:hAnsi="Times New Roman" w:cs="Times New Roman"/>
          <w:sz w:val="24"/>
          <w:szCs w:val="24"/>
        </w:rPr>
        <w:t>ming task used-The Tourist Problem-was chosen for its relevance for diversity along the dimension of ethnicity. The ideas produced by the ethnically diverse groups were judged to be of higher quality-more effective and feasible-than the ideas produced by t</w:t>
      </w:r>
      <w:r w:rsidRPr="0076041A">
        <w:rPr>
          <w:rFonts w:ascii="Times New Roman" w:eastAsia="Calibri" w:hAnsi="Times New Roman" w:cs="Times New Roman"/>
          <w:sz w:val="24"/>
          <w:szCs w:val="24"/>
        </w:rPr>
        <w:t>he homogeneous groups. Members of homogeneous groups reported marginally more attraction to their groups than did members of diverse groups. Directions for future research with respect to the degree of diversity, the nature of the task, and group process a</w:t>
      </w:r>
      <w:r w:rsidRPr="0076041A">
        <w:rPr>
          <w:rFonts w:ascii="Times New Roman" w:eastAsia="Calibri" w:hAnsi="Times New Roman" w:cs="Times New Roman"/>
          <w:sz w:val="24"/>
          <w:szCs w:val="24"/>
        </w:rPr>
        <w:t xml:space="preserve">re discussed. Small Group Research </w:t>
      </w:r>
      <w:r w:rsidRPr="0076041A">
        <w:rPr>
          <w:rFonts w:ascii="Times New Roman" w:eastAsia="Calibri" w:hAnsi="Times New Roman" w:cs="Times New Roman"/>
          <w:sz w:val="24"/>
          <w:szCs w:val="24"/>
          <w:u w:val="single"/>
        </w:rPr>
        <w:t>1996</w:t>
      </w:r>
      <w:r w:rsidRPr="0076041A">
        <w:rPr>
          <w:rFonts w:ascii="Times New Roman" w:eastAsia="Calibri" w:hAnsi="Times New Roman" w:cs="Times New Roman"/>
          <w:sz w:val="24"/>
          <w:szCs w:val="24"/>
        </w:rPr>
        <w:t xml:space="preserve"> </w:t>
      </w:r>
      <w:hyperlink r:id="rId6">
        <w:r w:rsidRPr="0076041A">
          <w:rPr>
            <w:rFonts w:ascii="Times New Roman" w:eastAsia="Calibri" w:hAnsi="Times New Roman" w:cs="Times New Roman"/>
            <w:color w:val="1155CC"/>
            <w:sz w:val="24"/>
            <w:szCs w:val="24"/>
            <w:u w:val="single"/>
          </w:rPr>
          <w:t>https://dx.doi.org/10.1177/1046496496272003</w:t>
        </w:r>
      </w:hyperlink>
    </w:p>
    <w:p w14:paraId="00000017" w14:textId="77777777" w:rsidR="0059315B" w:rsidRPr="0076041A" w:rsidRDefault="003A3B71">
      <w:pPr>
        <w:numPr>
          <w:ilvl w:val="0"/>
          <w:numId w:val="2"/>
        </w:numPr>
        <w:spacing w:line="240" w:lineRule="auto"/>
        <w:rPr>
          <w:rFonts w:ascii="Times New Roman" w:eastAsia="Calibri" w:hAnsi="Times New Roman" w:cs="Times New Roman"/>
          <w:sz w:val="24"/>
          <w:szCs w:val="24"/>
        </w:rPr>
      </w:pPr>
      <w:hyperlink r:id="rId7">
        <w:r w:rsidRPr="0076041A">
          <w:rPr>
            <w:rFonts w:ascii="Times New Roman" w:eastAsia="Calibri" w:hAnsi="Times New Roman" w:cs="Times New Roman"/>
            <w:b/>
            <w:color w:val="1155CC"/>
            <w:sz w:val="24"/>
            <w:szCs w:val="24"/>
            <w:u w:val="single"/>
          </w:rPr>
          <w:t xml:space="preserve">The Change Masters: Innovations for Productivity in the American Corporation, by  </w:t>
        </w:r>
        <w:proofErr w:type="spellStart"/>
        <w:r w:rsidRPr="0076041A">
          <w:rPr>
            <w:rFonts w:ascii="Times New Roman" w:eastAsia="Calibri" w:hAnsi="Times New Roman" w:cs="Times New Roman"/>
            <w:b/>
            <w:color w:val="1155CC"/>
            <w:sz w:val="24"/>
            <w:szCs w:val="24"/>
            <w:u w:val="single"/>
          </w:rPr>
          <w:t>Rosabeth</w:t>
        </w:r>
        <w:proofErr w:type="spellEnd"/>
        <w:r w:rsidRPr="0076041A">
          <w:rPr>
            <w:rFonts w:ascii="Times New Roman" w:eastAsia="Calibri" w:hAnsi="Times New Roman" w:cs="Times New Roman"/>
            <w:b/>
            <w:color w:val="1155CC"/>
            <w:sz w:val="24"/>
            <w:szCs w:val="24"/>
            <w:u w:val="single"/>
          </w:rPr>
          <w:t xml:space="preserve"> Moss Kant, </w:t>
        </w:r>
      </w:hyperlink>
      <w:hyperlink r:id="rId8">
        <w:r w:rsidRPr="0076041A">
          <w:rPr>
            <w:rFonts w:ascii="Times New Roman" w:eastAsia="Calibri" w:hAnsi="Times New Roman" w:cs="Times New Roman"/>
            <w:i/>
            <w:color w:val="1155CC"/>
            <w:sz w:val="24"/>
            <w:szCs w:val="24"/>
            <w:u w:val="single"/>
          </w:rPr>
          <w:t xml:space="preserve">Michael </w:t>
        </w:r>
        <w:proofErr w:type="spellStart"/>
        <w:r w:rsidRPr="0076041A">
          <w:rPr>
            <w:rFonts w:ascii="Times New Roman" w:eastAsia="Calibri" w:hAnsi="Times New Roman" w:cs="Times New Roman"/>
            <w:i/>
            <w:color w:val="1155CC"/>
            <w:sz w:val="24"/>
            <w:szCs w:val="24"/>
            <w:u w:val="single"/>
          </w:rPr>
          <w:t>Bisesi</w:t>
        </w:r>
        <w:proofErr w:type="spellEnd"/>
      </w:hyperlink>
      <w:hyperlink r:id="rId9">
        <w:r w:rsidRPr="0076041A">
          <w:rPr>
            <w:rFonts w:ascii="Times New Roman" w:eastAsia="Calibri" w:hAnsi="Times New Roman" w:cs="Times New Roman"/>
            <w:color w:val="1155CC"/>
            <w:sz w:val="24"/>
            <w:szCs w:val="24"/>
            <w:u w:val="single"/>
          </w:rPr>
          <w:t xml:space="preserve"> The Academy of Management Review;</w:t>
        </w:r>
      </w:hyperlink>
      <w:r w:rsidRPr="0076041A">
        <w:rPr>
          <w:rFonts w:ascii="Times New Roman" w:eastAsia="Calibri" w:hAnsi="Times New Roman" w:cs="Times New Roman"/>
          <w:sz w:val="24"/>
          <w:szCs w:val="24"/>
        </w:rPr>
        <w:t xml:space="preserve"> </w:t>
      </w:r>
    </w:p>
    <w:p w14:paraId="00000018" w14:textId="77777777" w:rsidR="0059315B" w:rsidRPr="0076041A" w:rsidRDefault="003A3B71">
      <w:pPr>
        <w:numPr>
          <w:ilvl w:val="0"/>
          <w:numId w:val="2"/>
        </w:num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Examples o</w:t>
      </w:r>
      <w:r w:rsidRPr="0076041A">
        <w:rPr>
          <w:rFonts w:ascii="Times New Roman" w:eastAsia="Calibri" w:hAnsi="Times New Roman" w:cs="Times New Roman"/>
          <w:sz w:val="24"/>
          <w:szCs w:val="24"/>
        </w:rPr>
        <w:t xml:space="preserve">f a DEI centric Code of Conduct for the lab: </w:t>
      </w:r>
      <w:hyperlink r:id="rId10">
        <w:r w:rsidRPr="0076041A">
          <w:rPr>
            <w:rFonts w:ascii="Times New Roman" w:eastAsia="Calibri" w:hAnsi="Times New Roman" w:cs="Times New Roman"/>
            <w:color w:val="1155CC"/>
            <w:sz w:val="24"/>
            <w:szCs w:val="24"/>
            <w:u w:val="single"/>
          </w:rPr>
          <w:t>https://kaplanlab.faculty.ucdavis.edu/lab-personnel/lab-code-of-conduct-an-argument-for-diver</w:t>
        </w:r>
        <w:r w:rsidRPr="0076041A">
          <w:rPr>
            <w:rFonts w:ascii="Times New Roman" w:eastAsia="Calibri" w:hAnsi="Times New Roman" w:cs="Times New Roman"/>
            <w:color w:val="1155CC"/>
            <w:sz w:val="24"/>
            <w:szCs w:val="24"/>
            <w:u w:val="single"/>
          </w:rPr>
          <w:t>sity/</w:t>
        </w:r>
      </w:hyperlink>
      <w:r w:rsidRPr="0076041A">
        <w:rPr>
          <w:rFonts w:ascii="Times New Roman" w:eastAsia="Calibri" w:hAnsi="Times New Roman" w:cs="Times New Roman"/>
          <w:sz w:val="24"/>
          <w:szCs w:val="24"/>
        </w:rPr>
        <w:br/>
      </w:r>
      <w:hyperlink r:id="rId11">
        <w:r w:rsidRPr="0076041A">
          <w:rPr>
            <w:rFonts w:ascii="Times New Roman" w:eastAsia="Calibri" w:hAnsi="Times New Roman" w:cs="Times New Roman"/>
            <w:color w:val="1155CC"/>
            <w:sz w:val="24"/>
            <w:szCs w:val="24"/>
            <w:u w:val="single"/>
          </w:rPr>
          <w:t>https://www.gomeslab.net/diversity</w:t>
        </w:r>
      </w:hyperlink>
    </w:p>
    <w:p w14:paraId="00000019" w14:textId="77777777" w:rsidR="0059315B" w:rsidRPr="0076041A" w:rsidRDefault="003A3B71">
      <w:pPr>
        <w:numPr>
          <w:ilvl w:val="0"/>
          <w:numId w:val="2"/>
        </w:num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Mentoring “contracts” and programs:</w:t>
      </w:r>
      <w:r w:rsidRPr="0076041A">
        <w:rPr>
          <w:rFonts w:ascii="Times New Roman" w:eastAsia="Calibri" w:hAnsi="Times New Roman" w:cs="Times New Roman"/>
          <w:sz w:val="24"/>
          <w:szCs w:val="24"/>
        </w:rPr>
        <w:br/>
      </w:r>
      <w:hyperlink r:id="rId12">
        <w:r w:rsidRPr="0076041A">
          <w:rPr>
            <w:rFonts w:ascii="Times New Roman" w:eastAsia="Calibri" w:hAnsi="Times New Roman" w:cs="Times New Roman"/>
            <w:color w:val="1155CC"/>
            <w:sz w:val="24"/>
            <w:szCs w:val="24"/>
            <w:u w:val="single"/>
          </w:rPr>
          <w:t>https://kaplanlab.faculty.uc</w:t>
        </w:r>
        <w:r w:rsidRPr="0076041A">
          <w:rPr>
            <w:rFonts w:ascii="Times New Roman" w:eastAsia="Calibri" w:hAnsi="Times New Roman" w:cs="Times New Roman"/>
            <w:color w:val="1155CC"/>
            <w:sz w:val="24"/>
            <w:szCs w:val="24"/>
            <w:u w:val="single"/>
          </w:rPr>
          <w:t>davis.edu/lab-personnel/mentoring-bill-of-rights/</w:t>
        </w:r>
      </w:hyperlink>
      <w:r w:rsidRPr="0076041A">
        <w:rPr>
          <w:rFonts w:ascii="Times New Roman" w:eastAsia="Calibri" w:hAnsi="Times New Roman" w:cs="Times New Roman"/>
          <w:sz w:val="24"/>
          <w:szCs w:val="24"/>
        </w:rPr>
        <w:br/>
      </w:r>
      <w:hyperlink r:id="rId13">
        <w:r w:rsidRPr="0076041A">
          <w:rPr>
            <w:rFonts w:ascii="Times New Roman" w:eastAsia="Calibri" w:hAnsi="Times New Roman" w:cs="Times New Roman"/>
            <w:color w:val="1155CC"/>
            <w:sz w:val="24"/>
            <w:szCs w:val="24"/>
            <w:u w:val="single"/>
          </w:rPr>
          <w:t>https://cimerproject.org/online-resources/</w:t>
        </w:r>
      </w:hyperlink>
    </w:p>
    <w:p w14:paraId="5693C56A" w14:textId="77777777" w:rsidR="0076041A" w:rsidRPr="0076041A" w:rsidRDefault="0076041A">
      <w:pPr>
        <w:spacing w:line="240" w:lineRule="auto"/>
        <w:rPr>
          <w:rFonts w:ascii="Times New Roman" w:eastAsia="Calibri" w:hAnsi="Times New Roman" w:cs="Times New Roman"/>
          <w:sz w:val="24"/>
          <w:szCs w:val="24"/>
        </w:rPr>
      </w:pPr>
    </w:p>
    <w:p w14:paraId="0000001A" w14:textId="16F52B88" w:rsidR="0059315B" w:rsidRPr="0076041A" w:rsidRDefault="003A3B71">
      <w:pPr>
        <w:spacing w:line="240" w:lineRule="auto"/>
        <w:rPr>
          <w:rFonts w:ascii="Times New Roman" w:eastAsia="Calibri" w:hAnsi="Times New Roman" w:cs="Times New Roman"/>
          <w:sz w:val="24"/>
          <w:szCs w:val="24"/>
        </w:rPr>
      </w:pPr>
      <w:r w:rsidRPr="0076041A">
        <w:rPr>
          <w:rFonts w:ascii="Times New Roman" w:eastAsia="Calibri" w:hAnsi="Times New Roman" w:cs="Times New Roman"/>
          <w:sz w:val="24"/>
          <w:szCs w:val="24"/>
        </w:rPr>
        <w:t xml:space="preserve">References and resources: </w:t>
      </w:r>
      <w:r w:rsidRPr="0076041A">
        <w:rPr>
          <w:rFonts w:ascii="Times New Roman" w:eastAsia="Calibri" w:hAnsi="Times New Roman" w:cs="Times New Roman"/>
          <w:sz w:val="24"/>
          <w:szCs w:val="24"/>
        </w:rPr>
        <w:br/>
      </w:r>
      <w:hyperlink r:id="rId14">
        <w:r w:rsidRPr="0076041A">
          <w:rPr>
            <w:rFonts w:ascii="Times New Roman" w:eastAsia="Calibri" w:hAnsi="Times New Roman" w:cs="Times New Roman"/>
            <w:color w:val="1155CC"/>
            <w:sz w:val="24"/>
            <w:szCs w:val="24"/>
            <w:u w:val="single"/>
          </w:rPr>
          <w:t>https://www.ascb.org/careers/improving-mentorship-for-diverse-scientists/</w:t>
        </w:r>
      </w:hyperlink>
    </w:p>
    <w:p w14:paraId="0000001B" w14:textId="77777777" w:rsidR="0059315B" w:rsidRPr="0076041A" w:rsidRDefault="003A3B71">
      <w:pPr>
        <w:spacing w:line="240" w:lineRule="auto"/>
        <w:rPr>
          <w:rFonts w:ascii="Times New Roman" w:eastAsia="Calibri" w:hAnsi="Times New Roman" w:cs="Times New Roman"/>
          <w:sz w:val="24"/>
          <w:szCs w:val="24"/>
        </w:rPr>
      </w:pPr>
      <w:hyperlink r:id="rId15">
        <w:r w:rsidRPr="0076041A">
          <w:rPr>
            <w:rFonts w:ascii="Times New Roman" w:eastAsia="Calibri" w:hAnsi="Times New Roman" w:cs="Times New Roman"/>
            <w:color w:val="1155CC"/>
            <w:sz w:val="24"/>
            <w:szCs w:val="24"/>
            <w:u w:val="single"/>
          </w:rPr>
          <w:t>https://kaplanlab.faculty.ucdavis.edu/lab-personnel/lab-code-of-conduct-an-argument-for-diversity/</w:t>
        </w:r>
      </w:hyperlink>
      <w:r w:rsidRPr="0076041A">
        <w:rPr>
          <w:rFonts w:ascii="Times New Roman" w:eastAsia="Calibri" w:hAnsi="Times New Roman" w:cs="Times New Roman"/>
          <w:sz w:val="24"/>
          <w:szCs w:val="24"/>
        </w:rPr>
        <w:br/>
      </w:r>
      <w:hyperlink r:id="rId16">
        <w:r w:rsidRPr="0076041A">
          <w:rPr>
            <w:rFonts w:ascii="Times New Roman" w:eastAsia="Calibri" w:hAnsi="Times New Roman" w:cs="Times New Roman"/>
            <w:color w:val="1155CC"/>
            <w:sz w:val="24"/>
            <w:szCs w:val="24"/>
            <w:u w:val="single"/>
          </w:rPr>
          <w:t>https://www.gomeslab.net/diversity</w:t>
        </w:r>
      </w:hyperlink>
    </w:p>
    <w:p w14:paraId="00000046" w14:textId="184E1E31" w:rsidR="0059315B" w:rsidRPr="0076041A" w:rsidRDefault="003A3B71" w:rsidP="0076041A">
      <w:pPr>
        <w:spacing w:line="240" w:lineRule="auto"/>
        <w:rPr>
          <w:rFonts w:ascii="Times New Roman" w:eastAsia="Calibri" w:hAnsi="Times New Roman" w:cs="Times New Roman"/>
          <w:sz w:val="24"/>
          <w:szCs w:val="24"/>
        </w:rPr>
      </w:pPr>
      <w:hyperlink r:id="rId17">
        <w:r w:rsidRPr="0076041A">
          <w:rPr>
            <w:rFonts w:ascii="Times New Roman" w:eastAsia="Calibri" w:hAnsi="Times New Roman" w:cs="Times New Roman"/>
            <w:color w:val="1155CC"/>
            <w:sz w:val="24"/>
            <w:szCs w:val="24"/>
            <w:u w:val="single"/>
          </w:rPr>
          <w:t>https://kaplanlab.faculty.ucdavis.edu/lab-personnel/mentoring-bill-of-rights/</w:t>
        </w:r>
      </w:hyperlink>
      <w:r w:rsidRPr="0076041A">
        <w:rPr>
          <w:rFonts w:ascii="Times New Roman" w:eastAsia="Calibri" w:hAnsi="Times New Roman" w:cs="Times New Roman"/>
          <w:sz w:val="24"/>
          <w:szCs w:val="24"/>
        </w:rPr>
        <w:br/>
      </w:r>
      <w:hyperlink r:id="rId18">
        <w:r w:rsidRPr="0076041A">
          <w:rPr>
            <w:rFonts w:ascii="Times New Roman" w:eastAsia="Calibri" w:hAnsi="Times New Roman" w:cs="Times New Roman"/>
            <w:color w:val="1155CC"/>
            <w:sz w:val="24"/>
            <w:szCs w:val="24"/>
            <w:u w:val="single"/>
          </w:rPr>
          <w:t>https://cimerproject.org/online-resources/</w:t>
        </w:r>
      </w:hyperlink>
    </w:p>
    <w:sectPr w:rsidR="0059315B" w:rsidRPr="007604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769F"/>
    <w:multiLevelType w:val="multilevel"/>
    <w:tmpl w:val="FD4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F5557"/>
    <w:multiLevelType w:val="multilevel"/>
    <w:tmpl w:val="83A24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E47EDA"/>
    <w:multiLevelType w:val="multilevel"/>
    <w:tmpl w:val="875A3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604207">
    <w:abstractNumId w:val="2"/>
  </w:num>
  <w:num w:numId="2" w16cid:durableId="939721182">
    <w:abstractNumId w:val="1"/>
  </w:num>
  <w:num w:numId="3" w16cid:durableId="101360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5B"/>
    <w:rsid w:val="003A3B71"/>
    <w:rsid w:val="0059315B"/>
    <w:rsid w:val="0076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98F86"/>
  <w15:docId w15:val="{35F1A731-AD98-1F43-AA02-96F4B34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ibbolethsp.jstor.org/start?entityID=urn%3Amace%3Aincommon%3Aucdavis.edu&amp;dest=https://www.jstor.org/stable/258501&amp;site=jstor" TargetMode="External"/><Relationship Id="rId13" Type="http://schemas.openxmlformats.org/officeDocument/2006/relationships/hyperlink" Target="https://cimerproject.org/online-resources/" TargetMode="External"/><Relationship Id="rId18" Type="http://schemas.openxmlformats.org/officeDocument/2006/relationships/hyperlink" Target="https://cimerproject.org/online-resources/" TargetMode="External"/><Relationship Id="rId3" Type="http://schemas.openxmlformats.org/officeDocument/2006/relationships/settings" Target="settings.xml"/><Relationship Id="rId7" Type="http://schemas.openxmlformats.org/officeDocument/2006/relationships/hyperlink" Target="https://shibbolethsp.jstor.org/start?entityID=urn%3Amace%3Aincommon%3Aucdavis.edu&amp;dest=https://www.jstor.org/stable/258501&amp;site=jstor" TargetMode="External"/><Relationship Id="rId12" Type="http://schemas.openxmlformats.org/officeDocument/2006/relationships/hyperlink" Target="https://kaplanlab.faculty.ucdavis.edu/lab-personnel/mentoring-bill-of-rights/" TargetMode="External"/><Relationship Id="rId17" Type="http://schemas.openxmlformats.org/officeDocument/2006/relationships/hyperlink" Target="https://kaplanlab.faculty.ucdavis.edu/lab-personnel/mentoring-bill-of-rights/" TargetMode="External"/><Relationship Id="rId2" Type="http://schemas.openxmlformats.org/officeDocument/2006/relationships/styles" Target="styles.xml"/><Relationship Id="rId16" Type="http://schemas.openxmlformats.org/officeDocument/2006/relationships/hyperlink" Target="https://www.gomeslab.net/divers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x.doi.org/10.1177/1046496496272003" TargetMode="External"/><Relationship Id="rId11" Type="http://schemas.openxmlformats.org/officeDocument/2006/relationships/hyperlink" Target="https://www.gomeslab.net/diversity" TargetMode="External"/><Relationship Id="rId5" Type="http://schemas.openxmlformats.org/officeDocument/2006/relationships/hyperlink" Target="https://www.ascb.org/careers/improving-mentorship-for-diverse-scientists/" TargetMode="External"/><Relationship Id="rId15" Type="http://schemas.openxmlformats.org/officeDocument/2006/relationships/hyperlink" Target="https://kaplanlab.faculty.ucdavis.edu/lab-personnel/lab-code-of-conduct-an-argument-for-diversity/" TargetMode="External"/><Relationship Id="rId10" Type="http://schemas.openxmlformats.org/officeDocument/2006/relationships/hyperlink" Target="https://kaplanlab.faculty.ucdavis.edu/lab-personnel/lab-code-of-conduct-an-argument-for-divers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ibbolethsp.jstor.org/start?entityID=urn%3Amace%3Aincommon%3Aucdavis.edu&amp;dest=https://www.jstor.org/stable/258501&amp;site=jstor" TargetMode="External"/><Relationship Id="rId14" Type="http://schemas.openxmlformats.org/officeDocument/2006/relationships/hyperlink" Target="https://www.ascb.org/careers/improving-mentorship-for-diverse-scien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2022-03-24T15:55:00Z</dcterms:created>
  <dcterms:modified xsi:type="dcterms:W3CDTF">2022-03-24T16:41:00Z</dcterms:modified>
</cp:coreProperties>
</file>